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400" w:lineRule="exact"/>
        <w:jc w:val="left"/>
        <w:rPr>
          <w:rFonts w:ascii="メイリオ" w:eastAsia="メイリオ" w:hAnsi="メイリオ"/>
          <w:sz w:val="24"/>
          <w:u w:val="single"/>
        </w:rPr>
      </w:pPr>
      <w:r>
        <w:rPr>
          <w:rFonts w:ascii="メイリオ" w:eastAsia="メイリオ" w:hAnsi="メイリオ" w:hint="eastAsia"/>
          <w:sz w:val="24"/>
          <w:u w:val="single"/>
        </w:rPr>
        <w:t>別紙1</w:t>
      </w:r>
    </w:p>
    <w:p>
      <w:pPr>
        <w:spacing w:line="300" w:lineRule="exact"/>
        <w:jc w:val="center"/>
        <w:rPr>
          <w:rFonts w:ascii="メイリオ" w:eastAsia="メイリオ" w:hAnsi="メイリオ" w:cs="Times New Roman"/>
          <w:color w:val="000000" w:themeColor="text1"/>
          <w:kern w:val="0"/>
          <w:sz w:val="22"/>
        </w:rPr>
      </w:pPr>
      <w:r>
        <w:rPr>
          <w:rFonts w:ascii="メイリオ" w:eastAsia="メイリオ" w:hAnsi="メイリオ" w:cs="Times New Roman"/>
          <w:color w:val="000000" w:themeColor="text1"/>
          <w:kern w:val="0"/>
          <w:sz w:val="22"/>
        </w:rPr>
        <w:t>理 由 書</w:t>
      </w:r>
    </w:p>
    <w:p>
      <w:pPr>
        <w:spacing w:line="300" w:lineRule="exact"/>
        <w:jc w:val="center"/>
        <w:rPr>
          <w:rFonts w:ascii="メイリオ" w:eastAsia="メイリオ" w:hAnsi="メイリオ" w:cs="Times New Roman"/>
          <w:color w:val="000000" w:themeColor="text1"/>
          <w:kern w:val="0"/>
          <w:sz w:val="22"/>
        </w:rPr>
      </w:pPr>
      <w:r>
        <w:rPr>
          <w:rFonts w:ascii="メイリオ" w:eastAsia="メイリオ" w:hAnsi="メイリオ" w:cs="Times New Roman" w:hint="eastAsia"/>
          <w:color w:val="000000" w:themeColor="text1"/>
          <w:kern w:val="0"/>
          <w:sz w:val="22"/>
        </w:rPr>
        <w:t>(</w:t>
      </w:r>
      <w:r>
        <w:rPr>
          <w:rFonts w:ascii="メイリオ" w:eastAsia="メイリオ" w:hAnsi="メイリオ" w:cs="Times New Roman"/>
          <w:color w:val="000000" w:themeColor="text1"/>
          <w:kern w:val="0"/>
          <w:sz w:val="22"/>
        </w:rPr>
        <w:t>2</w:t>
      </w:r>
      <w:r>
        <w:rPr>
          <w:rFonts w:ascii="メイリオ" w:eastAsia="メイリオ" w:hAnsi="メイリオ" w:cs="Times New Roman" w:hint="eastAsia"/>
          <w:color w:val="000000" w:themeColor="text1"/>
          <w:kern w:val="0"/>
          <w:sz w:val="22"/>
        </w:rPr>
        <w:t>者以上の見積書が提出できない場合)</w:t>
      </w:r>
    </w:p>
    <w:tbl>
      <w:tblPr>
        <w:tblStyle w:val="3"/>
        <w:tblW w:w="9351" w:type="dxa"/>
        <w:tblLook w:val="04A0" w:firstRow="1" w:lastRow="0" w:firstColumn="1" w:lastColumn="0" w:noHBand="0" w:noVBand="1"/>
      </w:tblPr>
      <w:tblGrid>
        <w:gridCol w:w="5382"/>
        <w:gridCol w:w="1984"/>
        <w:gridCol w:w="1985"/>
      </w:tblGrid>
      <w:tr>
        <w:trPr>
          <w:trHeight w:val="629"/>
        </w:trPr>
        <w:tc>
          <w:tcPr>
            <w:tcW w:w="5382" w:type="dxa"/>
            <w:tcBorders>
              <w:bottom w:val="dashed" w:sz="4" w:space="0" w:color="auto"/>
            </w:tcBorders>
          </w:tcPr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（１）補助対象経費について、２者以上の見積書が提出できない理由</w:t>
            </w:r>
          </w:p>
        </w:tc>
        <w:tc>
          <w:tcPr>
            <w:tcW w:w="1984" w:type="dxa"/>
            <w:tcBorders>
              <w:bottom w:val="dashed" w:sz="4" w:space="0" w:color="auto"/>
            </w:tcBorders>
          </w:tcPr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（２）対象経費</w:t>
            </w:r>
          </w:p>
        </w:tc>
        <w:tc>
          <w:tcPr>
            <w:tcW w:w="1985" w:type="dxa"/>
            <w:tcBorders>
              <w:bottom w:val="dashed" w:sz="4" w:space="0" w:color="auto"/>
            </w:tcBorders>
          </w:tcPr>
          <w:p>
            <w:pPr>
              <w:spacing w:line="300" w:lineRule="exact"/>
              <w:ind w:left="220" w:hangingChars="100" w:hanging="22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（３）説明書類の添付</w:t>
            </w:r>
          </w:p>
        </w:tc>
      </w:tr>
      <w:tr>
        <w:trPr>
          <w:trHeight w:val="2697"/>
        </w:trPr>
        <w:tc>
          <w:tcPr>
            <w:tcW w:w="5382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spacing w:line="300" w:lineRule="exact"/>
              <w:ind w:left="220" w:hangingChars="100" w:hanging="22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性質上、他者との見積比較ができない経費（独自システムの開発・拡張等）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取引できる事業者が１者に限られる経費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その他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/>
                <w:noProof/>
                <w:color w:val="000000" w:themeColor="text1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86994</wp:posOffset>
                      </wp:positionV>
                      <wp:extent cx="3267075" cy="1362075"/>
                      <wp:effectExtent l="0" t="0" r="28575" b="28575"/>
                      <wp:wrapNone/>
                      <wp:docPr id="8" name="大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7075" cy="136207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AEE3E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" o:spid="_x0000_s1026" type="#_x0000_t185" style="position:absolute;left:0;text-align:left;margin-left:.7pt;margin-top:6.85pt;width:257.25pt;height:10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" strokecolor="windowText" strokeweight=".5pt">
                      <v:stroke joinstyle="miter"/>
                    </v:shape>
                  </w:pict>
                </mc:Fallback>
              </mc:AlternateConten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 xml:space="preserve">　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pStyle w:val="a9"/>
              <w:numPr>
                <w:ilvl w:val="0"/>
                <w:numId w:val="11"/>
              </w:numPr>
              <w:spacing w:line="300" w:lineRule="exact"/>
              <w:ind w:leftChars="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添付あり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</w:tr>
      <w:tr>
        <w:trPr>
          <w:trHeight w:val="2811"/>
        </w:trPr>
        <w:tc>
          <w:tcPr>
            <w:tcW w:w="5382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spacing w:line="300" w:lineRule="exact"/>
              <w:ind w:left="220" w:hangingChars="100" w:hanging="22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性質上、他者との見積比較ができない経費（独自システムの開発・拡張等）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取引できる事業者が１者に限られる経費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その他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/>
                <w:noProof/>
                <w:color w:val="000000" w:themeColor="text1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90170</wp:posOffset>
                      </wp:positionV>
                      <wp:extent cx="3267075" cy="1371600"/>
                      <wp:effectExtent l="0" t="0" r="28575" b="19050"/>
                      <wp:wrapNone/>
                      <wp:docPr id="9" name="大かっこ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67075" cy="1371600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23E39" id="大かっこ 9" o:spid="_x0000_s1026" type="#_x0000_t185" style="position:absolute;left:0;text-align:left;margin-left:.7pt;margin-top:7.1pt;width:257.25pt;height:1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" strokecolor="windowText" strokeweight=".5pt">
                      <v:stroke joinstyle="miter"/>
                    </v:shape>
                  </w:pict>
                </mc:Fallback>
              </mc:AlternateConten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dashed" w:sz="4" w:space="0" w:color="auto"/>
            </w:tcBorders>
          </w:tcPr>
          <w:p>
            <w:pPr>
              <w:pStyle w:val="a9"/>
              <w:numPr>
                <w:ilvl w:val="0"/>
                <w:numId w:val="11"/>
              </w:numPr>
              <w:spacing w:line="300" w:lineRule="exact"/>
              <w:ind w:leftChars="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添付あり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</w:tr>
      <w:tr>
        <w:trPr>
          <w:trHeight w:val="2678"/>
        </w:trPr>
        <w:tc>
          <w:tcPr>
            <w:tcW w:w="5382" w:type="dxa"/>
            <w:tcBorders>
              <w:top w:val="dashed" w:sz="4" w:space="0" w:color="auto"/>
            </w:tcBorders>
          </w:tcPr>
          <w:p>
            <w:pPr>
              <w:spacing w:line="300" w:lineRule="exact"/>
              <w:ind w:left="220" w:hangingChars="100" w:hanging="22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性質上、他者との見積比較ができない経費（独自システムの開発・拡張等）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取引できる事業者が１者に限られる経費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□　その他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/>
                <w:noProof/>
                <w:color w:val="000000" w:themeColor="text1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74295</wp:posOffset>
                      </wp:positionV>
                      <wp:extent cx="3276600" cy="1381125"/>
                      <wp:effectExtent l="0" t="0" r="19050" b="2857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0" cy="138112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D292E" id="大かっこ 10" o:spid="_x0000_s1026" type="#_x0000_t185" style="position:absolute;left:0;text-align:left;margin-left:.7pt;margin-top:5.85pt;width:258pt;height:10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" strokecolor="windowText" strokeweight=".5pt">
                      <v:stroke joinstyle="miter"/>
                    </v:shape>
                  </w:pict>
                </mc:Fallback>
              </mc:AlternateConten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dashed" w:sz="4" w:space="0" w:color="auto"/>
            </w:tcBorders>
          </w:tcPr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dashed" w:sz="4" w:space="0" w:color="auto"/>
            </w:tcBorders>
          </w:tcPr>
          <w:p>
            <w:pPr>
              <w:pStyle w:val="a9"/>
              <w:numPr>
                <w:ilvl w:val="0"/>
                <w:numId w:val="11"/>
              </w:numPr>
              <w:spacing w:line="300" w:lineRule="exact"/>
              <w:ind w:leftChars="0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  <w:r>
              <w:rPr>
                <w:rFonts w:ascii="メイリオ" w:eastAsia="メイリオ" w:hAnsi="メイリオ" w:cs="Times New Roman" w:hint="eastAsia"/>
                <w:color w:val="000000" w:themeColor="text1"/>
                <w:kern w:val="0"/>
                <w:sz w:val="22"/>
              </w:rPr>
              <w:t>添付あり</w:t>
            </w: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  <w:p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color w:val="000000" w:themeColor="text1"/>
                <w:kern w:val="0"/>
                <w:sz w:val="22"/>
              </w:rPr>
            </w:pPr>
          </w:p>
        </w:tc>
      </w:tr>
    </w:tbl>
    <w:p>
      <w:pPr>
        <w:spacing w:line="300" w:lineRule="exact"/>
        <w:rPr>
          <w:rFonts w:ascii="メイリオ" w:eastAsia="メイリオ" w:hAnsi="メイリオ" w:cs="Times New Roman"/>
          <w:color w:val="000000" w:themeColor="text1"/>
          <w:kern w:val="0"/>
          <w:sz w:val="22"/>
        </w:rPr>
      </w:pPr>
      <w:r>
        <w:rPr>
          <w:rFonts w:ascii="メイリオ" w:eastAsia="メイリオ" w:hAnsi="メイリオ" w:cs="Times New Roman" w:hint="eastAsia"/>
          <w:color w:val="000000" w:themeColor="text1"/>
          <w:kern w:val="0"/>
          <w:sz w:val="22"/>
        </w:rPr>
        <w:t>※２者以上の見積書が提出できない理由を説明できる書類（経費の取扱店舗のわかる資料、事業者からの通知文など）を添付してください。</w:t>
      </w:r>
    </w:p>
    <w:sectPr>
      <w:footerReference w:type="default" r:id="rId8"/>
      <w:pgSz w:w="11906" w:h="16838" w:code="9"/>
      <w:pgMar w:top="1440" w:right="1077" w:bottom="1440" w:left="1077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AB9"/>
    <w:multiLevelType w:val="hybridMultilevel"/>
    <w:tmpl w:val="D36C71D4"/>
    <w:lvl w:ilvl="0" w:tplc="283E1C5A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6E5FA2"/>
    <w:multiLevelType w:val="hybridMultilevel"/>
    <w:tmpl w:val="0FBAC4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3F38D6"/>
    <w:multiLevelType w:val="hybridMultilevel"/>
    <w:tmpl w:val="245A0ADE"/>
    <w:lvl w:ilvl="0" w:tplc="F9D892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283E1C5A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B4E3B04"/>
    <w:multiLevelType w:val="hybridMultilevel"/>
    <w:tmpl w:val="A65A4BE8"/>
    <w:lvl w:ilvl="0" w:tplc="F9D892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6F41675"/>
    <w:multiLevelType w:val="hybridMultilevel"/>
    <w:tmpl w:val="893A06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F9F15B4"/>
    <w:multiLevelType w:val="hybridMultilevel"/>
    <w:tmpl w:val="486A5A36"/>
    <w:lvl w:ilvl="0" w:tplc="1390D41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3274DFC4">
      <w:start w:val="1"/>
      <w:numFmt w:val="decimalEnclosedCircle"/>
      <w:lvlText w:val="%2"/>
      <w:lvlJc w:val="left"/>
      <w:pPr>
        <w:ind w:left="780" w:hanging="360"/>
      </w:pPr>
      <w:rPr>
        <w:rFonts w:ascii="メイリオ" w:eastAsia="メイリオ" w:hAnsi="メイリオ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59460E4"/>
    <w:multiLevelType w:val="hybridMultilevel"/>
    <w:tmpl w:val="B8FC54B4"/>
    <w:lvl w:ilvl="0" w:tplc="F90288D4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7" w15:restartNumberingAfterBreak="0">
    <w:nsid w:val="5DB52431"/>
    <w:multiLevelType w:val="hybridMultilevel"/>
    <w:tmpl w:val="9404EC2C"/>
    <w:lvl w:ilvl="0" w:tplc="EA7C1848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C1F1CF9"/>
    <w:multiLevelType w:val="hybridMultilevel"/>
    <w:tmpl w:val="D196FE68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6E2287DC">
      <w:start w:val="1"/>
      <w:numFmt w:val="decimalFullWidth"/>
      <w:lvlText w:val="%2．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2CA130F"/>
    <w:multiLevelType w:val="hybridMultilevel"/>
    <w:tmpl w:val="48E4D9A8"/>
    <w:lvl w:ilvl="0" w:tplc="604A4E68">
      <w:start w:val="4"/>
      <w:numFmt w:val="bullet"/>
      <w:lvlText w:val="□"/>
      <w:lvlJc w:val="left"/>
      <w:pPr>
        <w:ind w:left="360" w:hanging="360"/>
      </w:pPr>
      <w:rPr>
        <w:rFonts w:ascii="メイリオ" w:eastAsia="メイリオ" w:hAnsi="メイリオ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143474"/>
    <w:multiLevelType w:val="hybridMultilevel"/>
    <w:tmpl w:val="E58A9142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2046759">
    <w:abstractNumId w:val="4"/>
  </w:num>
  <w:num w:numId="2" w16cid:durableId="333531746">
    <w:abstractNumId w:val="2"/>
  </w:num>
  <w:num w:numId="3" w16cid:durableId="558710548">
    <w:abstractNumId w:val="3"/>
  </w:num>
  <w:num w:numId="4" w16cid:durableId="979269221">
    <w:abstractNumId w:val="1"/>
  </w:num>
  <w:num w:numId="5" w16cid:durableId="199442040">
    <w:abstractNumId w:val="10"/>
  </w:num>
  <w:num w:numId="6" w16cid:durableId="56706183">
    <w:abstractNumId w:val="8"/>
  </w:num>
  <w:num w:numId="7" w16cid:durableId="966081001">
    <w:abstractNumId w:val="0"/>
  </w:num>
  <w:num w:numId="8" w16cid:durableId="1730688588">
    <w:abstractNumId w:val="7"/>
  </w:num>
  <w:num w:numId="9" w16cid:durableId="251359370">
    <w:abstractNumId w:val="6"/>
  </w:num>
  <w:num w:numId="10" w16cid:durableId="229312960">
    <w:abstractNumId w:val="5"/>
  </w:num>
  <w:num w:numId="11" w16cid:durableId="17583602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Body Text Indent"/>
    <w:basedOn w:val="a"/>
    <w:link w:val="a8"/>
    <w:pPr>
      <w:ind w:left="178" w:hangingChars="85" w:hanging="178"/>
    </w:pPr>
    <w:rPr>
      <w:rFonts w:ascii="Century" w:eastAsia="ＭＳ 明朝" w:hAnsi="Century" w:cs="Times New Roman"/>
      <w:szCs w:val="20"/>
    </w:rPr>
  </w:style>
  <w:style w:type="character" w:customStyle="1" w:styleId="a8">
    <w:name w:val="本文インデント (文字)"/>
    <w:basedOn w:val="a0"/>
    <w:link w:val="a7"/>
    <w:rPr>
      <w:rFonts w:ascii="Century" w:eastAsia="ＭＳ 明朝" w:hAnsi="Century" w:cs="Times New Roman"/>
      <w:szCs w:val="20"/>
    </w:rPr>
  </w:style>
  <w:style w:type="paragraph" w:styleId="a9">
    <w:name w:val="List Paragraph"/>
    <w:basedOn w:val="a"/>
    <w:uiPriority w:val="34"/>
    <w:qFormat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</w:style>
  <w:style w:type="table" w:customStyle="1" w:styleId="3">
    <w:name w:val="表 (格子)3"/>
    <w:basedOn w:val="a1"/>
    <w:next w:val="ac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AE7C-E060-4954-9653-581CE26E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2023-01-23T05:35:00Z</dcterms:created>
  <dcterms:modified xsi:type="dcterms:W3CDTF">2025-08-26T07:27:00Z</dcterms:modified>
</cp:coreProperties>
</file>