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5FB71" w14:textId="3D27264F" w:rsidR="002B6EBC" w:rsidRPr="006E724B" w:rsidRDefault="002B6EBC" w:rsidP="006E724B">
      <w:pPr>
        <w:adjustRightInd w:val="0"/>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（様式第</w:t>
      </w:r>
      <w:r w:rsidR="00FC4F0F">
        <w:rPr>
          <w:rFonts w:ascii="メイリオ" w:eastAsia="メイリオ" w:hAnsi="メイリオ" w:cs="ＭＳ 明朝" w:hint="eastAsia"/>
          <w:sz w:val="24"/>
          <w:szCs w:val="24"/>
        </w:rPr>
        <w:t>１</w:t>
      </w:r>
      <w:r w:rsidRPr="006E724B">
        <w:rPr>
          <w:rFonts w:ascii="メイリオ" w:eastAsia="メイリオ" w:hAnsi="メイリオ" w:cs="ＭＳ 明朝" w:hint="eastAsia"/>
          <w:sz w:val="24"/>
          <w:szCs w:val="24"/>
        </w:rPr>
        <w:t>号）</w:t>
      </w:r>
    </w:p>
    <w:p w14:paraId="42BBF412" w14:textId="77777777" w:rsidR="002B6EBC" w:rsidRPr="006E724B" w:rsidRDefault="002B6EBC" w:rsidP="002B6EBC">
      <w:pPr>
        <w:jc w:val="center"/>
        <w:rPr>
          <w:rFonts w:ascii="メイリオ" w:eastAsia="メイリオ" w:hAnsi="メイリオ" w:cs="Times New Roman"/>
          <w:sz w:val="28"/>
          <w:szCs w:val="28"/>
        </w:rPr>
      </w:pPr>
      <w:r w:rsidRPr="006E724B">
        <w:rPr>
          <w:rFonts w:ascii="メイリオ" w:eastAsia="メイリオ" w:hAnsi="メイリオ" w:cs="ＭＳ 明朝" w:hint="eastAsia"/>
          <w:sz w:val="28"/>
          <w:szCs w:val="28"/>
        </w:rPr>
        <w:t>直読水道メーター設備契約書</w:t>
      </w:r>
    </w:p>
    <w:p w14:paraId="3F8F1E19"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563B38B6" w14:textId="602A6BE9"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豊田市（以下「甲」という。）と</w:t>
      </w:r>
      <w:r w:rsidRPr="00310E69">
        <w:rPr>
          <w:rFonts w:ascii="メイリオ" w:eastAsia="メイリオ" w:hAnsi="メイリオ" w:cs="ＭＳ 明朝" w:hint="eastAsia"/>
          <w:sz w:val="24"/>
          <w:szCs w:val="24"/>
        </w:rPr>
        <w:t xml:space="preserve">  </w:t>
      </w:r>
      <w:r w:rsidR="00F008AA" w:rsidRPr="00310E69">
        <w:rPr>
          <w:rFonts w:ascii="メイリオ" w:eastAsia="メイリオ" w:hAnsi="メイリオ" w:cs="ＭＳ 明朝" w:hint="eastAsia"/>
          <w:sz w:val="24"/>
          <w:szCs w:val="24"/>
        </w:rPr>
        <w:t xml:space="preserve">　　　　　　　　　</w:t>
      </w:r>
      <w:r w:rsidR="00566DDA" w:rsidRPr="00310E69">
        <w:rPr>
          <w:rFonts w:ascii="メイリオ" w:eastAsia="メイリオ" w:hAnsi="メイリオ" w:cs="ＭＳ 明朝" w:hint="eastAsia"/>
          <w:sz w:val="24"/>
          <w:szCs w:val="24"/>
        </w:rPr>
        <w:t xml:space="preserve">　</w:t>
      </w:r>
      <w:r w:rsidRPr="006E724B">
        <w:rPr>
          <w:rFonts w:ascii="メイリオ" w:eastAsia="メイリオ" w:hAnsi="メイリオ" w:cs="ＭＳ 明朝" w:hint="eastAsia"/>
          <w:sz w:val="24"/>
          <w:szCs w:val="24"/>
        </w:rPr>
        <w:t>（以下「乙」とい</w:t>
      </w:r>
      <w:r w:rsidRPr="006E724B">
        <w:rPr>
          <w:rFonts w:ascii="メイリオ" w:eastAsia="メイリオ" w:hAnsi="メイリオ" w:hint="eastAsia"/>
          <w:sz w:val="24"/>
          <w:szCs w:val="24"/>
        </w:rPr>
        <w:t>う。）は、豊田市水道事業給水条例（昭和３４年条例第１０号。以下「給水条例」という。）に規定する直読水道メーター（以下「メーター」という。）の設置を条件とする給水について、次のとおり契約を締結する。</w:t>
      </w:r>
    </w:p>
    <w:p w14:paraId="38FB8418" w14:textId="0D00FABF"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24076EBA" w14:textId="2E8923C5"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（契約の対象）</w:t>
      </w:r>
    </w:p>
    <w:p w14:paraId="4C2F9F86"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第１条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この契約の対象は、次のメーター設備とする。</w:t>
      </w:r>
    </w:p>
    <w:tbl>
      <w:tblPr>
        <w:tblW w:w="8952" w:type="dxa"/>
        <w:tblInd w:w="16" w:type="dxa"/>
        <w:tblLayout w:type="fixed"/>
        <w:tblCellMar>
          <w:left w:w="16" w:type="dxa"/>
          <w:right w:w="16" w:type="dxa"/>
        </w:tblCellMar>
        <w:tblLook w:val="0000" w:firstRow="0" w:lastRow="0" w:firstColumn="0" w:lastColumn="0" w:noHBand="0" w:noVBand="0"/>
      </w:tblPr>
      <w:tblGrid>
        <w:gridCol w:w="1814"/>
        <w:gridCol w:w="2134"/>
        <w:gridCol w:w="2127"/>
        <w:gridCol w:w="992"/>
        <w:gridCol w:w="1276"/>
        <w:gridCol w:w="609"/>
      </w:tblGrid>
      <w:tr w:rsidR="002B6EBC" w:rsidRPr="006E724B" w14:paraId="7F436831" w14:textId="77777777" w:rsidTr="00600D01">
        <w:trPr>
          <w:trHeight w:val="765"/>
        </w:trPr>
        <w:tc>
          <w:tcPr>
            <w:tcW w:w="1814" w:type="dxa"/>
            <w:tcBorders>
              <w:top w:val="single" w:sz="4" w:space="0" w:color="auto"/>
              <w:left w:val="single" w:sz="4" w:space="0" w:color="auto"/>
              <w:bottom w:val="single" w:sz="4" w:space="0" w:color="auto"/>
              <w:right w:val="single" w:sz="4" w:space="0" w:color="auto"/>
            </w:tcBorders>
            <w:vAlign w:val="center"/>
          </w:tcPr>
          <w:p w14:paraId="5A07BC3B" w14:textId="77777777" w:rsidR="002B6EBC" w:rsidRPr="006E724B" w:rsidRDefault="002B6EBC" w:rsidP="006E724B">
            <w:pPr>
              <w:adjustRightInd w:val="0"/>
              <w:snapToGrid w:val="0"/>
              <w:spacing w:line="360" w:lineRule="exact"/>
              <w:ind w:leftChars="-6" w:left="-2" w:hangingChars="4" w:hanging="11"/>
              <w:contextualSpacing/>
              <w:jc w:val="center"/>
              <w:rPr>
                <w:rFonts w:ascii="メイリオ" w:eastAsia="メイリオ" w:hAnsi="メイリオ" w:cs="Times New Roman"/>
                <w:sz w:val="24"/>
                <w:szCs w:val="24"/>
              </w:rPr>
            </w:pPr>
            <w:r w:rsidRPr="006E724B">
              <w:rPr>
                <w:rFonts w:ascii="メイリオ" w:eastAsia="メイリオ" w:hAnsi="メイリオ" w:cs="ＭＳ 明朝" w:hint="eastAsia"/>
                <w:spacing w:val="22"/>
                <w:sz w:val="24"/>
                <w:szCs w:val="24"/>
              </w:rPr>
              <w:t>設置場所</w:t>
            </w:r>
          </w:p>
        </w:tc>
        <w:tc>
          <w:tcPr>
            <w:tcW w:w="7138" w:type="dxa"/>
            <w:gridSpan w:val="5"/>
            <w:tcBorders>
              <w:top w:val="single" w:sz="4" w:space="0" w:color="auto"/>
              <w:left w:val="nil"/>
              <w:bottom w:val="single" w:sz="4" w:space="0" w:color="auto"/>
              <w:right w:val="single" w:sz="4" w:space="0" w:color="auto"/>
            </w:tcBorders>
            <w:vAlign w:val="center"/>
          </w:tcPr>
          <w:p w14:paraId="587E45AA" w14:textId="567ABBAF" w:rsidR="002B6EBC" w:rsidRPr="006E724B" w:rsidRDefault="002B6EBC" w:rsidP="006E724B">
            <w:pPr>
              <w:adjustRightInd w:val="0"/>
              <w:snapToGrid w:val="0"/>
              <w:spacing w:line="360" w:lineRule="exact"/>
              <w:contextualSpacing/>
              <w:rPr>
                <w:rFonts w:ascii="メイリオ" w:eastAsia="メイリオ" w:hAnsi="メイリオ" w:cs="ＭＳ 明朝"/>
                <w:spacing w:val="11"/>
                <w:sz w:val="24"/>
                <w:szCs w:val="24"/>
              </w:rPr>
            </w:pPr>
            <w:r w:rsidRPr="006E724B">
              <w:rPr>
                <w:rFonts w:ascii="メイリオ" w:eastAsia="メイリオ" w:hAnsi="メイリオ" w:cs="ＭＳ 明朝" w:hint="eastAsia"/>
                <w:spacing w:val="11"/>
                <w:sz w:val="24"/>
                <w:szCs w:val="24"/>
              </w:rPr>
              <w:t xml:space="preserve">  豊田市</w:t>
            </w:r>
          </w:p>
        </w:tc>
      </w:tr>
      <w:tr w:rsidR="002B6EBC" w:rsidRPr="006E724B" w14:paraId="76283419" w14:textId="77777777" w:rsidTr="00600D01">
        <w:trPr>
          <w:trHeight w:val="765"/>
        </w:trPr>
        <w:tc>
          <w:tcPr>
            <w:tcW w:w="1814" w:type="dxa"/>
            <w:tcBorders>
              <w:top w:val="nil"/>
              <w:left w:val="single" w:sz="4" w:space="0" w:color="auto"/>
              <w:bottom w:val="single" w:sz="4" w:space="0" w:color="auto"/>
              <w:right w:val="single" w:sz="4" w:space="0" w:color="auto"/>
            </w:tcBorders>
            <w:vAlign w:val="center"/>
          </w:tcPr>
          <w:p w14:paraId="58010D0C" w14:textId="77777777" w:rsidR="002B6EBC" w:rsidRPr="006E724B" w:rsidRDefault="002B6EBC" w:rsidP="006E724B">
            <w:pPr>
              <w:adjustRightInd w:val="0"/>
              <w:snapToGrid w:val="0"/>
              <w:spacing w:line="360" w:lineRule="exact"/>
              <w:ind w:leftChars="-6" w:left="-2" w:hangingChars="4" w:hanging="11"/>
              <w:contextualSpacing/>
              <w:jc w:val="center"/>
              <w:rPr>
                <w:rFonts w:ascii="メイリオ" w:eastAsia="メイリオ" w:hAnsi="メイリオ" w:cs="Times New Roman"/>
                <w:sz w:val="24"/>
                <w:szCs w:val="24"/>
              </w:rPr>
            </w:pPr>
            <w:r w:rsidRPr="006E724B">
              <w:rPr>
                <w:rFonts w:ascii="メイリオ" w:eastAsia="メイリオ" w:hAnsi="メイリオ" w:cs="ＭＳ 明朝" w:hint="eastAsia"/>
                <w:spacing w:val="22"/>
                <w:sz w:val="24"/>
                <w:szCs w:val="24"/>
              </w:rPr>
              <w:t>建物名称</w:t>
            </w:r>
          </w:p>
        </w:tc>
        <w:tc>
          <w:tcPr>
            <w:tcW w:w="7138" w:type="dxa"/>
            <w:gridSpan w:val="5"/>
            <w:tcBorders>
              <w:top w:val="nil"/>
              <w:left w:val="nil"/>
              <w:bottom w:val="single" w:sz="4" w:space="0" w:color="auto"/>
              <w:right w:val="single" w:sz="4" w:space="0" w:color="auto"/>
            </w:tcBorders>
            <w:vAlign w:val="center"/>
          </w:tcPr>
          <w:p w14:paraId="2D858410" w14:textId="3D7F13F2" w:rsidR="002B6EBC" w:rsidRPr="006E724B" w:rsidRDefault="002B6EBC" w:rsidP="006E724B">
            <w:pPr>
              <w:adjustRightInd w:val="0"/>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 xml:space="preserve">　</w:t>
            </w:r>
          </w:p>
        </w:tc>
      </w:tr>
      <w:tr w:rsidR="00907901" w:rsidRPr="006E724B" w14:paraId="5C16971F" w14:textId="7B6EE2AD" w:rsidTr="00600D01">
        <w:trPr>
          <w:trHeight w:val="765"/>
        </w:trPr>
        <w:tc>
          <w:tcPr>
            <w:tcW w:w="1814" w:type="dxa"/>
            <w:tcBorders>
              <w:top w:val="nil"/>
              <w:left w:val="single" w:sz="4" w:space="0" w:color="auto"/>
              <w:bottom w:val="single" w:sz="4" w:space="0" w:color="auto"/>
              <w:right w:val="single" w:sz="4" w:space="0" w:color="auto"/>
            </w:tcBorders>
            <w:vAlign w:val="center"/>
          </w:tcPr>
          <w:p w14:paraId="7F639E8F" w14:textId="77777777" w:rsidR="00907901" w:rsidRPr="006E724B" w:rsidRDefault="00907901" w:rsidP="006E724B">
            <w:pPr>
              <w:adjustRightInd w:val="0"/>
              <w:snapToGrid w:val="0"/>
              <w:spacing w:line="360" w:lineRule="exact"/>
              <w:ind w:leftChars="-6" w:left="-2" w:hangingChars="4" w:hanging="11"/>
              <w:contextualSpacing/>
              <w:jc w:val="center"/>
              <w:rPr>
                <w:rFonts w:ascii="メイリオ" w:eastAsia="メイリオ" w:hAnsi="メイリオ" w:cs="Times New Roman"/>
                <w:sz w:val="24"/>
                <w:szCs w:val="24"/>
              </w:rPr>
            </w:pPr>
            <w:r w:rsidRPr="006E724B">
              <w:rPr>
                <w:rFonts w:ascii="メイリオ" w:eastAsia="メイリオ" w:hAnsi="メイリオ" w:cs="ＭＳ 明朝" w:hint="eastAsia"/>
                <w:spacing w:val="22"/>
                <w:sz w:val="24"/>
                <w:szCs w:val="24"/>
              </w:rPr>
              <w:t>給水個数</w:t>
            </w:r>
          </w:p>
        </w:tc>
        <w:tc>
          <w:tcPr>
            <w:tcW w:w="6529" w:type="dxa"/>
            <w:gridSpan w:val="4"/>
            <w:tcBorders>
              <w:top w:val="nil"/>
              <w:left w:val="nil"/>
              <w:bottom w:val="single" w:sz="4" w:space="0" w:color="auto"/>
              <w:right w:val="nil"/>
            </w:tcBorders>
            <w:vAlign w:val="center"/>
          </w:tcPr>
          <w:p w14:paraId="07BF9728" w14:textId="4F2D0FEB" w:rsidR="00907901" w:rsidRPr="006E724B" w:rsidRDefault="00907901" w:rsidP="006E724B">
            <w:pPr>
              <w:adjustRightInd w:val="0"/>
              <w:snapToGrid w:val="0"/>
              <w:spacing w:line="360" w:lineRule="exact"/>
              <w:contextualSpacing/>
              <w:jc w:val="right"/>
              <w:rPr>
                <w:rFonts w:ascii="メイリオ" w:eastAsia="メイリオ" w:hAnsi="メイリオ" w:cs="Times New Roman"/>
                <w:sz w:val="24"/>
                <w:szCs w:val="24"/>
              </w:rPr>
            </w:pPr>
          </w:p>
        </w:tc>
        <w:tc>
          <w:tcPr>
            <w:tcW w:w="609" w:type="dxa"/>
            <w:tcBorders>
              <w:top w:val="nil"/>
              <w:left w:val="nil"/>
              <w:bottom w:val="single" w:sz="4" w:space="0" w:color="auto"/>
              <w:right w:val="single" w:sz="4" w:space="0" w:color="auto"/>
            </w:tcBorders>
            <w:vAlign w:val="center"/>
          </w:tcPr>
          <w:p w14:paraId="67FAF0B8" w14:textId="2F6080BE" w:rsidR="00907901" w:rsidRPr="006E724B" w:rsidRDefault="00907901" w:rsidP="006E724B">
            <w:pPr>
              <w:adjustRightInd w:val="0"/>
              <w:snapToGrid w:val="0"/>
              <w:spacing w:line="360" w:lineRule="exact"/>
              <w:contextualSpacing/>
              <w:jc w:val="left"/>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個</w:t>
            </w:r>
          </w:p>
        </w:tc>
      </w:tr>
      <w:tr w:rsidR="00600D01" w:rsidRPr="006E724B" w14:paraId="12C3FFBD" w14:textId="77777777" w:rsidTr="00310E69">
        <w:trPr>
          <w:trHeight w:val="941"/>
        </w:trPr>
        <w:tc>
          <w:tcPr>
            <w:tcW w:w="3948" w:type="dxa"/>
            <w:gridSpan w:val="2"/>
            <w:tcBorders>
              <w:top w:val="nil"/>
              <w:left w:val="single" w:sz="4" w:space="0" w:color="auto"/>
              <w:bottom w:val="single" w:sz="4" w:space="0" w:color="auto"/>
              <w:right w:val="single" w:sz="4" w:space="0" w:color="auto"/>
            </w:tcBorders>
            <w:vAlign w:val="center"/>
          </w:tcPr>
          <w:p w14:paraId="7CF65AE2" w14:textId="50AE4987" w:rsidR="00600D01" w:rsidRPr="006E724B" w:rsidRDefault="00600D01" w:rsidP="006E724B">
            <w:pPr>
              <w:adjustRightInd w:val="0"/>
              <w:snapToGrid w:val="0"/>
              <w:spacing w:line="360" w:lineRule="exact"/>
              <w:ind w:firstLineChars="100" w:firstLine="284"/>
              <w:contextualSpacing/>
              <w:rPr>
                <w:rFonts w:ascii="メイリオ" w:eastAsia="メイリオ" w:hAnsi="メイリオ" w:cs="Times New Roman"/>
                <w:sz w:val="24"/>
                <w:szCs w:val="24"/>
              </w:rPr>
            </w:pPr>
            <w:r w:rsidRPr="006E724B">
              <w:rPr>
                <w:rFonts w:ascii="メイリオ" w:eastAsia="メイリオ" w:hAnsi="メイリオ" w:cs="ＭＳ 明朝" w:hint="eastAsia"/>
                <w:spacing w:val="22"/>
                <w:sz w:val="24"/>
                <w:szCs w:val="24"/>
              </w:rPr>
              <w:t>各戸メーター口径別内訳</w:t>
            </w:r>
          </w:p>
        </w:tc>
        <w:tc>
          <w:tcPr>
            <w:tcW w:w="2127" w:type="dxa"/>
            <w:tcBorders>
              <w:top w:val="single" w:sz="4" w:space="0" w:color="auto"/>
              <w:left w:val="single" w:sz="4" w:space="0" w:color="auto"/>
              <w:bottom w:val="single" w:sz="4" w:space="0" w:color="auto"/>
              <w:right w:val="nil"/>
            </w:tcBorders>
            <w:vAlign w:val="center"/>
          </w:tcPr>
          <w:p w14:paraId="1B931776" w14:textId="20B2FABB" w:rsidR="00600D01" w:rsidRPr="006E724B" w:rsidRDefault="00310E69" w:rsidP="006E724B">
            <w:pPr>
              <w:adjustRightInd w:val="0"/>
              <w:snapToGrid w:val="0"/>
              <w:spacing w:line="360" w:lineRule="exact"/>
              <w:contextualSpacing/>
              <w:jc w:val="right"/>
              <w:rPr>
                <w:rFonts w:ascii="メイリオ" w:eastAsia="メイリオ" w:hAnsi="メイリオ" w:cs="Times New Roman"/>
                <w:sz w:val="24"/>
                <w:szCs w:val="24"/>
              </w:rPr>
            </w:pPr>
            <w:r>
              <w:rPr>
                <w:rFonts w:ascii="メイリオ" w:eastAsia="メイリオ" w:hAnsi="メイリオ" w:cs="Times New Roman" w:hint="eastAsia"/>
                <w:sz w:val="24"/>
                <w:szCs w:val="24"/>
              </w:rPr>
              <w:t>ミリ</w:t>
            </w:r>
          </w:p>
        </w:tc>
        <w:tc>
          <w:tcPr>
            <w:tcW w:w="992" w:type="dxa"/>
            <w:tcBorders>
              <w:top w:val="single" w:sz="4" w:space="0" w:color="auto"/>
              <w:left w:val="nil"/>
              <w:bottom w:val="single" w:sz="4" w:space="0" w:color="auto"/>
              <w:right w:val="nil"/>
            </w:tcBorders>
            <w:vAlign w:val="center"/>
          </w:tcPr>
          <w:p w14:paraId="4228C4E8" w14:textId="14077201" w:rsidR="00600D01" w:rsidRPr="006E724B" w:rsidRDefault="00600D01" w:rsidP="006E724B">
            <w:pPr>
              <w:adjustRightInd w:val="0"/>
              <w:snapToGrid w:val="0"/>
              <w:spacing w:line="360" w:lineRule="exact"/>
              <w:contextualSpacing/>
              <w:jc w:val="center"/>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w:t>
            </w:r>
          </w:p>
        </w:tc>
        <w:tc>
          <w:tcPr>
            <w:tcW w:w="1276" w:type="dxa"/>
            <w:tcBorders>
              <w:top w:val="nil"/>
              <w:left w:val="nil"/>
              <w:bottom w:val="single" w:sz="4" w:space="0" w:color="auto"/>
              <w:right w:val="nil"/>
            </w:tcBorders>
            <w:vAlign w:val="center"/>
          </w:tcPr>
          <w:p w14:paraId="54BBB070" w14:textId="4D3C313E" w:rsidR="00600D01" w:rsidRPr="006E724B" w:rsidRDefault="00600D01" w:rsidP="006E724B">
            <w:pPr>
              <w:adjustRightInd w:val="0"/>
              <w:snapToGrid w:val="0"/>
              <w:spacing w:line="360" w:lineRule="exact"/>
              <w:contextualSpacing/>
              <w:jc w:val="right"/>
              <w:rPr>
                <w:rFonts w:ascii="メイリオ" w:eastAsia="メイリオ" w:hAnsi="メイリオ" w:cs="Times New Roman"/>
                <w:sz w:val="24"/>
                <w:szCs w:val="24"/>
              </w:rPr>
            </w:pPr>
          </w:p>
        </w:tc>
        <w:tc>
          <w:tcPr>
            <w:tcW w:w="609" w:type="dxa"/>
            <w:tcBorders>
              <w:top w:val="nil"/>
              <w:left w:val="nil"/>
              <w:bottom w:val="single" w:sz="4" w:space="0" w:color="auto"/>
              <w:right w:val="single" w:sz="4" w:space="0" w:color="auto"/>
            </w:tcBorders>
            <w:vAlign w:val="center"/>
          </w:tcPr>
          <w:p w14:paraId="12098871" w14:textId="2A910B47" w:rsidR="00600D01" w:rsidRPr="006E724B" w:rsidRDefault="00600D01" w:rsidP="006E724B">
            <w:pPr>
              <w:adjustRightInd w:val="0"/>
              <w:snapToGrid w:val="0"/>
              <w:spacing w:line="360" w:lineRule="exact"/>
              <w:contextualSpacing/>
              <w:jc w:val="left"/>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個</w:t>
            </w:r>
          </w:p>
        </w:tc>
      </w:tr>
      <w:tr w:rsidR="00310E69" w:rsidRPr="006E724B" w14:paraId="7BE25163" w14:textId="508CB022" w:rsidTr="00310E69">
        <w:trPr>
          <w:trHeight w:val="932"/>
        </w:trPr>
        <w:tc>
          <w:tcPr>
            <w:tcW w:w="3948" w:type="dxa"/>
            <w:gridSpan w:val="2"/>
            <w:tcBorders>
              <w:top w:val="nil"/>
              <w:left w:val="single" w:sz="4" w:space="0" w:color="auto"/>
              <w:bottom w:val="single" w:sz="4" w:space="0" w:color="auto"/>
              <w:right w:val="single" w:sz="4" w:space="0" w:color="auto"/>
            </w:tcBorders>
            <w:vAlign w:val="center"/>
          </w:tcPr>
          <w:p w14:paraId="318ACE25" w14:textId="77777777" w:rsidR="00310E69" w:rsidRPr="006E724B" w:rsidRDefault="00310E69" w:rsidP="006E724B">
            <w:pPr>
              <w:adjustRightInd w:val="0"/>
              <w:snapToGrid w:val="0"/>
              <w:spacing w:line="360" w:lineRule="exact"/>
              <w:ind w:right="1336" w:firstLineChars="100" w:firstLine="284"/>
              <w:contextualSpacing/>
              <w:rPr>
                <w:rFonts w:ascii="メイリオ" w:eastAsia="メイリオ" w:hAnsi="メイリオ" w:cs="Times New Roman"/>
                <w:spacing w:val="22"/>
                <w:sz w:val="24"/>
                <w:szCs w:val="24"/>
              </w:rPr>
            </w:pPr>
            <w:r w:rsidRPr="006E724B">
              <w:rPr>
                <w:rFonts w:ascii="メイリオ" w:eastAsia="メイリオ" w:hAnsi="メイリオ" w:cs="ＭＳ 明朝" w:hint="eastAsia"/>
                <w:spacing w:val="22"/>
                <w:sz w:val="24"/>
                <w:szCs w:val="24"/>
              </w:rPr>
              <w:t>共用栓・散水栓</w:t>
            </w:r>
          </w:p>
          <w:p w14:paraId="3513403A" w14:textId="77777777" w:rsidR="00310E69" w:rsidRPr="006E724B" w:rsidRDefault="00310E69" w:rsidP="006E724B">
            <w:pPr>
              <w:adjustRightInd w:val="0"/>
              <w:snapToGrid w:val="0"/>
              <w:spacing w:line="360" w:lineRule="exact"/>
              <w:ind w:firstLineChars="300" w:firstLine="852"/>
              <w:contextualSpacing/>
              <w:rPr>
                <w:rFonts w:ascii="メイリオ" w:eastAsia="メイリオ" w:hAnsi="メイリオ" w:cs="Times New Roman"/>
                <w:spacing w:val="22"/>
                <w:sz w:val="24"/>
                <w:szCs w:val="24"/>
              </w:rPr>
            </w:pPr>
            <w:r w:rsidRPr="006E724B">
              <w:rPr>
                <w:rFonts w:ascii="メイリオ" w:eastAsia="メイリオ" w:hAnsi="メイリオ" w:cs="ＭＳ 明朝" w:hint="eastAsia"/>
                <w:spacing w:val="22"/>
                <w:sz w:val="24"/>
                <w:szCs w:val="24"/>
              </w:rPr>
              <w:t>メーター口径別内訳</w:t>
            </w:r>
          </w:p>
        </w:tc>
        <w:tc>
          <w:tcPr>
            <w:tcW w:w="2127" w:type="dxa"/>
            <w:tcBorders>
              <w:top w:val="nil"/>
              <w:left w:val="single" w:sz="4" w:space="0" w:color="auto"/>
              <w:bottom w:val="single" w:sz="4" w:space="0" w:color="auto"/>
              <w:right w:val="nil"/>
            </w:tcBorders>
            <w:vAlign w:val="center"/>
          </w:tcPr>
          <w:p w14:paraId="45918D30" w14:textId="33116262" w:rsidR="00310E69" w:rsidRPr="006E724B" w:rsidRDefault="00310E69" w:rsidP="006E724B">
            <w:pPr>
              <w:adjustRightInd w:val="0"/>
              <w:snapToGrid w:val="0"/>
              <w:spacing w:line="360" w:lineRule="exact"/>
              <w:contextualSpacing/>
              <w:jc w:val="right"/>
              <w:rPr>
                <w:rFonts w:ascii="メイリオ" w:eastAsia="メイリオ" w:hAnsi="メイリオ" w:cs="Times New Roman"/>
                <w:sz w:val="24"/>
                <w:szCs w:val="24"/>
              </w:rPr>
            </w:pPr>
            <w:r>
              <w:rPr>
                <w:rFonts w:ascii="メイリオ" w:eastAsia="メイリオ" w:hAnsi="メイリオ" w:cs="Times New Roman" w:hint="eastAsia"/>
                <w:sz w:val="24"/>
                <w:szCs w:val="24"/>
              </w:rPr>
              <w:t>ミリ</w:t>
            </w:r>
          </w:p>
        </w:tc>
        <w:tc>
          <w:tcPr>
            <w:tcW w:w="992" w:type="dxa"/>
            <w:tcBorders>
              <w:top w:val="nil"/>
              <w:left w:val="nil"/>
              <w:bottom w:val="single" w:sz="4" w:space="0" w:color="auto"/>
              <w:right w:val="nil"/>
            </w:tcBorders>
            <w:vAlign w:val="center"/>
          </w:tcPr>
          <w:p w14:paraId="62B86649" w14:textId="6F641662" w:rsidR="00310E69" w:rsidRPr="006E724B" w:rsidRDefault="00310E69" w:rsidP="006E724B">
            <w:pPr>
              <w:adjustRightInd w:val="0"/>
              <w:snapToGrid w:val="0"/>
              <w:spacing w:line="360" w:lineRule="exact"/>
              <w:contextualSpacing/>
              <w:jc w:val="center"/>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w:t>
            </w:r>
          </w:p>
        </w:tc>
        <w:tc>
          <w:tcPr>
            <w:tcW w:w="1276" w:type="dxa"/>
            <w:tcBorders>
              <w:top w:val="nil"/>
              <w:left w:val="nil"/>
              <w:bottom w:val="single" w:sz="4" w:space="0" w:color="auto"/>
              <w:right w:val="nil"/>
            </w:tcBorders>
            <w:vAlign w:val="center"/>
          </w:tcPr>
          <w:p w14:paraId="55617199" w14:textId="193A08BE" w:rsidR="00310E69" w:rsidRPr="006E724B" w:rsidRDefault="00310E69" w:rsidP="006E724B">
            <w:pPr>
              <w:adjustRightInd w:val="0"/>
              <w:snapToGrid w:val="0"/>
              <w:spacing w:line="360" w:lineRule="exact"/>
              <w:contextualSpacing/>
              <w:jc w:val="right"/>
              <w:rPr>
                <w:rFonts w:ascii="メイリオ" w:eastAsia="メイリオ" w:hAnsi="メイリオ" w:cs="Times New Roman"/>
                <w:sz w:val="24"/>
                <w:szCs w:val="24"/>
              </w:rPr>
            </w:pPr>
          </w:p>
        </w:tc>
        <w:tc>
          <w:tcPr>
            <w:tcW w:w="609" w:type="dxa"/>
            <w:tcBorders>
              <w:top w:val="nil"/>
              <w:left w:val="nil"/>
              <w:bottom w:val="single" w:sz="4" w:space="0" w:color="auto"/>
              <w:right w:val="single" w:sz="4" w:space="0" w:color="auto"/>
            </w:tcBorders>
            <w:vAlign w:val="center"/>
          </w:tcPr>
          <w:p w14:paraId="404DF440" w14:textId="5AC7E38A" w:rsidR="00310E69" w:rsidRPr="006E724B" w:rsidRDefault="00310E69" w:rsidP="006E724B">
            <w:pPr>
              <w:adjustRightInd w:val="0"/>
              <w:snapToGrid w:val="0"/>
              <w:spacing w:line="360" w:lineRule="exact"/>
              <w:contextualSpacing/>
              <w:jc w:val="left"/>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個</w:t>
            </w:r>
          </w:p>
        </w:tc>
      </w:tr>
    </w:tbl>
    <w:p w14:paraId="345932D5"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5CFFF68F"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（管理人の指定等）</w:t>
      </w:r>
    </w:p>
    <w:p w14:paraId="62A2BC57"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第２条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乙は、給水設備及び契約給水装置（以下「給水設備等」という。）について、甲の定める</w:t>
      </w:r>
      <w:r w:rsidRPr="006E724B">
        <w:rPr>
          <w:rFonts w:ascii="メイリオ" w:eastAsia="メイリオ" w:hAnsi="メイリオ" w:cs="ＭＳ 明朝" w:hint="eastAsia"/>
          <w:color w:val="000000"/>
          <w:sz w:val="24"/>
          <w:szCs w:val="24"/>
        </w:rPr>
        <w:t>直読メーター設備及び隔測メーター設備の設置等に関する要綱</w:t>
      </w:r>
      <w:r w:rsidRPr="006E724B">
        <w:rPr>
          <w:rFonts w:ascii="メイリオ" w:eastAsia="メイリオ" w:hAnsi="メイリオ" w:cs="ＭＳ 明朝" w:hint="eastAsia"/>
          <w:sz w:val="24"/>
          <w:szCs w:val="24"/>
        </w:rPr>
        <w:t>（平成２６年４月１日施行。以下「要綱」という。）を遵守するとともに、自己の責任と負担において当該設備等を維持管理するものとする。</w:t>
      </w:r>
    </w:p>
    <w:p w14:paraId="1BBBF863" w14:textId="77777777" w:rsidR="008D4A0F" w:rsidRDefault="002B6EBC" w:rsidP="00600D01">
      <w:pPr>
        <w:snapToGrid w:val="0"/>
        <w:spacing w:line="360" w:lineRule="exact"/>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乙は前項の維持管理を円滑に行うため、管理人を選任しなければならない。</w:t>
      </w:r>
    </w:p>
    <w:p w14:paraId="286F5B91" w14:textId="6248BE5E" w:rsidR="002B6EBC" w:rsidRPr="008D4A0F" w:rsidRDefault="002B6EBC" w:rsidP="008D4A0F">
      <w:pPr>
        <w:snapToGrid w:val="0"/>
        <w:spacing w:line="360" w:lineRule="exact"/>
        <w:ind w:left="240" w:hangingChars="100" w:hanging="240"/>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３　乙及び管理人は、次に掲げる事項を行い、給水設備等に異常又は修理箇所が</w:t>
      </w:r>
      <w:r w:rsidR="006E724B">
        <w:rPr>
          <w:rFonts w:ascii="メイリオ" w:eastAsia="メイリオ" w:hAnsi="メイリオ" w:cs="ＭＳ 明朝" w:hint="eastAsia"/>
          <w:sz w:val="24"/>
          <w:szCs w:val="24"/>
        </w:rPr>
        <w:t>あった</w:t>
      </w:r>
      <w:r w:rsidRPr="006E724B">
        <w:rPr>
          <w:rFonts w:ascii="メイリオ" w:eastAsia="メイリオ" w:hAnsi="メイリオ" w:cs="ＭＳ 明朝" w:hint="eastAsia"/>
          <w:sz w:val="24"/>
          <w:szCs w:val="24"/>
        </w:rPr>
        <w:t>ときは、速やかに修繕等の必要な措置を講じなければならない。</w:t>
      </w:r>
    </w:p>
    <w:p w14:paraId="53189594"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（１）給水装置等の概要、警報装置等について熟知すること。</w:t>
      </w:r>
    </w:p>
    <w:p w14:paraId="712F28AD" w14:textId="77777777" w:rsidR="002B6EBC" w:rsidRPr="006E724B" w:rsidRDefault="002B6EBC" w:rsidP="00600D01">
      <w:pPr>
        <w:snapToGrid w:val="0"/>
        <w:spacing w:line="360" w:lineRule="exact"/>
        <w:ind w:left="480" w:hangingChars="200" w:hanging="48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（２）受水槽及び高置水槽にあっては水質保持のため関係法令を遵守し、必要な措置を講ずること。</w:t>
      </w:r>
    </w:p>
    <w:p w14:paraId="393873DA"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（３）メーター、配管等の凍結又は破損防止のために必要な措置を講ずること。</w:t>
      </w:r>
    </w:p>
    <w:p w14:paraId="22E24EB4" w14:textId="4ED97C28" w:rsidR="002B6EBC" w:rsidRPr="006E724B" w:rsidRDefault="002B6EBC" w:rsidP="00310E69">
      <w:pPr>
        <w:snapToGrid w:val="0"/>
        <w:spacing w:line="360" w:lineRule="exact"/>
        <w:ind w:left="480" w:hangingChars="200" w:hanging="48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（４）配管、バルブ等の漏水に常に注意し、正常な状態に保たれるようその管理を行うこと。</w:t>
      </w:r>
    </w:p>
    <w:p w14:paraId="386C58CB" w14:textId="224474E7" w:rsidR="00E05125" w:rsidRDefault="002B6EBC" w:rsidP="006E724B">
      <w:pPr>
        <w:snapToGrid w:val="0"/>
        <w:spacing w:line="360" w:lineRule="exact"/>
        <w:ind w:left="480" w:hangingChars="200" w:hanging="480"/>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（５）点検等の支障とならないよう、パイプシャフトルーム扉等を常に開閉できる状態にしておくこと、及びルーム内を清潔に保つこと。</w:t>
      </w:r>
    </w:p>
    <w:p w14:paraId="37457804" w14:textId="6A1DE289" w:rsidR="00293CBD" w:rsidRDefault="00293CBD" w:rsidP="006E724B">
      <w:pPr>
        <w:snapToGrid w:val="0"/>
        <w:spacing w:line="360" w:lineRule="exact"/>
        <w:ind w:left="480" w:hangingChars="200" w:hanging="480"/>
        <w:contextualSpacing/>
        <w:rPr>
          <w:rFonts w:ascii="メイリオ" w:eastAsia="メイリオ" w:hAnsi="メイリオ" w:cs="ＭＳ 明朝"/>
          <w:sz w:val="24"/>
          <w:szCs w:val="24"/>
        </w:rPr>
      </w:pPr>
      <w:r>
        <w:rPr>
          <w:rFonts w:ascii="メイリオ" w:eastAsia="メイリオ" w:hAnsi="メイリオ" w:cs="ＭＳ 明朝" w:hint="eastAsia"/>
          <w:sz w:val="24"/>
          <w:szCs w:val="24"/>
        </w:rPr>
        <w:lastRenderedPageBreak/>
        <w:t>（６）受水槽（高置水槽を含む。）の清掃を実施しようとするときは管理者に届出、実施後にはその清掃に使用した水量相当分の水道料金を納入すること。</w:t>
      </w:r>
    </w:p>
    <w:p w14:paraId="342FF499" w14:textId="77777777" w:rsidR="00293CBD" w:rsidRPr="006E724B" w:rsidRDefault="00293CBD" w:rsidP="006E724B">
      <w:pPr>
        <w:snapToGrid w:val="0"/>
        <w:spacing w:line="360" w:lineRule="exact"/>
        <w:ind w:left="480" w:hangingChars="200" w:hanging="480"/>
        <w:contextualSpacing/>
        <w:rPr>
          <w:rFonts w:ascii="メイリオ" w:eastAsia="メイリオ" w:hAnsi="メイリオ" w:cs="ＭＳ 明朝"/>
          <w:sz w:val="24"/>
          <w:szCs w:val="24"/>
        </w:rPr>
      </w:pPr>
    </w:p>
    <w:p w14:paraId="62CFD68A"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（検査及び改善）</w:t>
      </w:r>
    </w:p>
    <w:p w14:paraId="5A66522F"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第３条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甲は、必要に応じ、給水設備等について検査を行うことができる。</w:t>
      </w:r>
    </w:p>
    <w:p w14:paraId="226BC984"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乙は、前項の検査の結果、甲から指示された事項があったときは、速やかに当該事項について改善をしなければならない。</w:t>
      </w:r>
    </w:p>
    <w:p w14:paraId="1C1E8AC6" w14:textId="77777777" w:rsidR="002B6EBC" w:rsidRPr="006E724B" w:rsidRDefault="002B6EBC" w:rsidP="00600D01">
      <w:pPr>
        <w:snapToGrid w:val="0"/>
        <w:spacing w:line="360" w:lineRule="exact"/>
        <w:contextualSpacing/>
        <w:rPr>
          <w:rFonts w:ascii="メイリオ" w:eastAsia="メイリオ" w:hAnsi="メイリオ" w:cs="Times New Roman"/>
          <w:spacing w:val="13"/>
          <w:sz w:val="24"/>
          <w:szCs w:val="24"/>
        </w:rPr>
      </w:pPr>
    </w:p>
    <w:p w14:paraId="5ABE7BC9"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（メーターの更新等）</w:t>
      </w:r>
    </w:p>
    <w:p w14:paraId="589FAE27"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第４条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甲は、８年ごとにメーターを更新するものとする。ただし、乙が隔測水道メーター設備契約から直読水道メーター設備契約に変更したときは、その更新に限り、甲がメーターを支給し、乙の費用において当該メーターを設置するものとする。</w:t>
      </w:r>
    </w:p>
    <w:p w14:paraId="00E8E9BC"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検定期間の満了に伴い甲が各メーターを更新する場合において、当該メーターの前後の給水管が老朽化し、メーターの設置に支障があるときは、甲の指示により自己の費用をもってこれを改善するものとする。</w:t>
      </w:r>
    </w:p>
    <w:p w14:paraId="025B836E"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３</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給水設備等から、漏水等が生じて入居者等に損害を与えても、甲はその責めを負わない。</w:t>
      </w:r>
    </w:p>
    <w:p w14:paraId="0BCDB3EF"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４</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乙及び管理人は、甲がメーターの取替え等を行うときには、その施行に支障がないよう協力しなければならない。</w:t>
      </w:r>
    </w:p>
    <w:p w14:paraId="6D7C93CD" w14:textId="77777777" w:rsidR="002B6EBC" w:rsidRPr="006E724B" w:rsidRDefault="002B6EBC" w:rsidP="00600D01">
      <w:pPr>
        <w:snapToGrid w:val="0"/>
        <w:spacing w:line="360" w:lineRule="exact"/>
        <w:contextualSpacing/>
        <w:rPr>
          <w:rFonts w:ascii="メイリオ" w:eastAsia="メイリオ" w:hAnsi="メイリオ" w:cs="Times New Roman"/>
          <w:spacing w:val="13"/>
          <w:sz w:val="24"/>
          <w:szCs w:val="24"/>
        </w:rPr>
      </w:pPr>
    </w:p>
    <w:p w14:paraId="5F3F04F9"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（使用水量の計量及び水道料金）</w:t>
      </w:r>
    </w:p>
    <w:p w14:paraId="0FAE9BC0"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第５条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使用水量は、甲の設置した親メーター及び各メーターで計量するものとする。</w:t>
      </w:r>
    </w:p>
    <w:p w14:paraId="3899DFAE"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水道料金は、給水条例及び豊田市水道事業給水条例施行規程（昭和４２年水道局管理規程第１号。以下「施行規程」という。）の規定に基づき、前項の使用水量をもって算定し、各メーターの使用者から徴収する。</w:t>
      </w:r>
    </w:p>
    <w:p w14:paraId="0226E244"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３</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前２項の規定にかかわらず、メーターが設置されるまでの間に水道を使用したときは、親メーターで使用水量を計量し、前項を準用して算定した水道料金を、乙から徴収する。</w:t>
      </w:r>
    </w:p>
    <w:p w14:paraId="28C30C31"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４</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親メーターの使用水量が、各メーターの合計使用水量を超えたときは、甲の定める算定基準により乙に対して水道超過料金を請求することができるものとする。</w:t>
      </w:r>
    </w:p>
    <w:p w14:paraId="5DB78433"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５</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乙は、この契約を締結したことにより入居者等との間で料金等の紛争が生じたときは、自己の責任において解決しなければならない。</w:t>
      </w:r>
    </w:p>
    <w:p w14:paraId="6457858C"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0CAB30B7"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（負担金の納入）</w:t>
      </w:r>
    </w:p>
    <w:p w14:paraId="1E78A2B1"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第６条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乙は、次に掲げる区分に応じ、給水条例第２８条に規定する新規給水負担金又は同条例第２９条に規定するメーター負担金を前納しなければならない。</w:t>
      </w:r>
    </w:p>
    <w:p w14:paraId="08FDDBE0" w14:textId="04885750" w:rsidR="002B6EBC" w:rsidRPr="006E724B" w:rsidRDefault="00600D01" w:rsidP="00600D01">
      <w:pPr>
        <w:snapToGrid w:val="0"/>
        <w:spacing w:line="360" w:lineRule="exact"/>
        <w:ind w:left="480" w:hangingChars="200" w:hanging="480"/>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（１）</w:t>
      </w:r>
      <w:r w:rsidR="002B6EBC" w:rsidRPr="006E724B">
        <w:rPr>
          <w:rFonts w:ascii="メイリオ" w:eastAsia="メイリオ" w:hAnsi="メイリオ" w:cs="ＭＳ 明朝" w:hint="eastAsia"/>
          <w:sz w:val="24"/>
          <w:szCs w:val="24"/>
        </w:rPr>
        <w:t>新規にメーターを設置するときは、親メーターを除く各メーターの新規給水</w:t>
      </w:r>
      <w:r w:rsidR="002B6EBC" w:rsidRPr="006E724B">
        <w:rPr>
          <w:rFonts w:ascii="メイリオ" w:eastAsia="メイリオ" w:hAnsi="メイリオ" w:cs="ＭＳ 明朝" w:hint="eastAsia"/>
          <w:sz w:val="24"/>
          <w:szCs w:val="24"/>
        </w:rPr>
        <w:lastRenderedPageBreak/>
        <w:t>負担金</w:t>
      </w:r>
    </w:p>
    <w:p w14:paraId="13FB546B" w14:textId="7D8A4BE9" w:rsidR="002B6EBC" w:rsidRPr="006E724B" w:rsidRDefault="002B6EBC" w:rsidP="00600D01">
      <w:pPr>
        <w:snapToGrid w:val="0"/>
        <w:spacing w:line="360" w:lineRule="exact"/>
        <w:ind w:left="480" w:hangingChars="200" w:hanging="48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（２）隔測水道メーター設備契約から直読水道メーター設備契約へ変更するときは、各メーターのメーター負担金</w:t>
      </w:r>
    </w:p>
    <w:p w14:paraId="2BE24B70" w14:textId="77777777" w:rsidR="002B6EBC" w:rsidRPr="006E724B" w:rsidRDefault="002B6EBC" w:rsidP="00600D01">
      <w:pPr>
        <w:snapToGrid w:val="0"/>
        <w:spacing w:line="360" w:lineRule="exact"/>
        <w:ind w:left="480" w:hangingChars="200" w:hanging="48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（３）共同メーター方式から直読水道メーター設備契約へ変更するときは、第１号の新規給水負担金の額から既に納入済の親メーターの新規給水負担金相当額を減額した金額</w:t>
      </w:r>
    </w:p>
    <w:p w14:paraId="2374D4DE"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5416FF92"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（変更届等）</w:t>
      </w:r>
    </w:p>
    <w:p w14:paraId="1157635A" w14:textId="275B06BA"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第７条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乙は、次の各号のいずれかに該当するときは、７日以内に甲に届出なければならない。</w:t>
      </w:r>
    </w:p>
    <w:p w14:paraId="608B28F8"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（１）管理人等に変更があったとき。</w:t>
      </w:r>
    </w:p>
    <w:p w14:paraId="55AF918D"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（２）第３条第２項の規定により改善を行ったとき。</w:t>
      </w:r>
    </w:p>
    <w:p w14:paraId="4B6FB7CC"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（３）給水設備等の改造等を行ったとき。</w:t>
      </w:r>
    </w:p>
    <w:p w14:paraId="17EAE454"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（４）契約内容に変更があったとき。</w:t>
      </w:r>
    </w:p>
    <w:p w14:paraId="29462E7A"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（５）前各号に定めるもののほか、甲が必要と認めたとき。</w:t>
      </w:r>
    </w:p>
    <w:p w14:paraId="0471CE7F"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前項第４号に該当するときは、速やかに再契約を締結しなければならない。</w:t>
      </w:r>
    </w:p>
    <w:p w14:paraId="1D0B9F40" w14:textId="77777777" w:rsidR="002B6EBC" w:rsidRPr="006E724B" w:rsidRDefault="002B6EBC" w:rsidP="00600D01">
      <w:pPr>
        <w:snapToGrid w:val="0"/>
        <w:spacing w:line="360" w:lineRule="exact"/>
        <w:contextualSpacing/>
        <w:rPr>
          <w:rFonts w:ascii="メイリオ" w:eastAsia="メイリオ" w:hAnsi="メイリオ" w:cs="Times New Roman"/>
          <w:spacing w:val="13"/>
          <w:sz w:val="24"/>
          <w:szCs w:val="24"/>
        </w:rPr>
      </w:pPr>
    </w:p>
    <w:p w14:paraId="61E92E2B"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（契約の解除）</w:t>
      </w:r>
    </w:p>
    <w:p w14:paraId="499D123E"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第８条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甲は、乙がこの契約及び要綱に定める事項を履行しないとき、又はこの契約及び要綱に違反したときは、契約を解除することができるものとし、契約を解除するときは乙に通知する。</w:t>
      </w:r>
    </w:p>
    <w:p w14:paraId="29D1C092"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前項の契約解除により乙に損害が生じても、甲はその責めを負わない。</w:t>
      </w:r>
    </w:p>
    <w:p w14:paraId="6ED57807"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0E6AA054"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（契約期間）</w:t>
      </w:r>
    </w:p>
    <w:p w14:paraId="2B956CB1" w14:textId="16B76B79"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第９条</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この契約の期間は、契約の日からメーターの検定期間満了の月の末日までとする。ただし、契約期間の満了の２月前までに甲、乙からの申出がないときは、さらに１年延長するものとし、その後において期間が満了したときも同様とする。</w:t>
      </w:r>
    </w:p>
    <w:p w14:paraId="1E77824B"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w:t>
      </w: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直読水道メーター設備に該当しなくなったときは、該当しなくなった日をもって契約は終了する。</w:t>
      </w:r>
    </w:p>
    <w:p w14:paraId="69CE2F5D"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25FC04DD" w14:textId="77777777" w:rsidR="002B6EBC" w:rsidRPr="006E724B" w:rsidRDefault="002B6EBC" w:rsidP="00600D01">
      <w:pPr>
        <w:snapToGrid w:val="0"/>
        <w:spacing w:line="360" w:lineRule="exact"/>
        <w:ind w:firstLineChars="100" w:firstLine="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（オートロック装置の対応）</w:t>
      </w:r>
    </w:p>
    <w:p w14:paraId="50535259" w14:textId="1788A13A"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第１０条　乙は、オートロック装置を設置しているときは、甲が行う点検等の支障とならないよう、当該オートロック装置の解錠方法を甲に届出なければならない。オートロック装置を変更したときも同様とする。</w:t>
      </w:r>
    </w:p>
    <w:p w14:paraId="674FEDBA" w14:textId="6F9DE06B" w:rsidR="002B6EBC" w:rsidRPr="006E724B" w:rsidRDefault="002B6EBC" w:rsidP="00600D01">
      <w:pPr>
        <w:snapToGrid w:val="0"/>
        <w:spacing w:line="360" w:lineRule="exact"/>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２　甲は、前項の届出がないときは、契約を解除することができる</w:t>
      </w:r>
    </w:p>
    <w:p w14:paraId="24911C32" w14:textId="77777777" w:rsidR="006E724B" w:rsidRPr="006E724B" w:rsidRDefault="006E724B" w:rsidP="00600D01">
      <w:pPr>
        <w:snapToGrid w:val="0"/>
        <w:spacing w:line="360" w:lineRule="exact"/>
        <w:ind w:left="240" w:hangingChars="100" w:hanging="240"/>
        <w:contextualSpacing/>
        <w:rPr>
          <w:rFonts w:ascii="メイリオ" w:eastAsia="メイリオ" w:hAnsi="メイリオ" w:cs="ＭＳ 明朝"/>
          <w:sz w:val="24"/>
          <w:szCs w:val="24"/>
        </w:rPr>
      </w:pPr>
    </w:p>
    <w:p w14:paraId="1F996094" w14:textId="7FA2D34D" w:rsidR="002B6EBC" w:rsidRPr="006E724B" w:rsidRDefault="002B6EBC" w:rsidP="006E724B">
      <w:pPr>
        <w:snapToGrid w:val="0"/>
        <w:spacing w:line="360" w:lineRule="exact"/>
        <w:ind w:leftChars="100" w:left="21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（疑義等の決定等）</w:t>
      </w:r>
    </w:p>
    <w:p w14:paraId="5A1AD180"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第１１条　この契約に定めのない事項又は疑義を生じた事項については、豊田市水道事業給水条例及び豊田市水道事業給水条例施行規程、</w:t>
      </w:r>
      <w:r w:rsidRPr="006E724B">
        <w:rPr>
          <w:rFonts w:ascii="メイリオ" w:eastAsia="メイリオ" w:hAnsi="メイリオ" w:cs="ＭＳ 明朝" w:hint="eastAsia"/>
          <w:color w:val="000000"/>
          <w:sz w:val="24"/>
          <w:szCs w:val="24"/>
        </w:rPr>
        <w:t>直読メーター設備及び隔</w:t>
      </w:r>
      <w:r w:rsidRPr="006E724B">
        <w:rPr>
          <w:rFonts w:ascii="メイリオ" w:eastAsia="メイリオ" w:hAnsi="メイリオ" w:cs="ＭＳ 明朝" w:hint="eastAsia"/>
          <w:color w:val="000000"/>
          <w:sz w:val="24"/>
          <w:szCs w:val="24"/>
        </w:rPr>
        <w:lastRenderedPageBreak/>
        <w:t>測メーター設備の設置等に関する要綱</w:t>
      </w:r>
      <w:r w:rsidRPr="006E724B">
        <w:rPr>
          <w:rFonts w:ascii="メイリオ" w:eastAsia="メイリオ" w:hAnsi="メイリオ" w:cs="ＭＳ 明朝" w:hint="eastAsia"/>
          <w:sz w:val="24"/>
          <w:szCs w:val="24"/>
        </w:rPr>
        <w:t>の定めるところによるほか、甲と乙が協議して定めるものとする。</w:t>
      </w:r>
    </w:p>
    <w:p w14:paraId="51E3FD21" w14:textId="77777777" w:rsidR="002B6EBC" w:rsidRPr="006E724B" w:rsidRDefault="002B6EBC" w:rsidP="00600D01">
      <w:pPr>
        <w:snapToGrid w:val="0"/>
        <w:spacing w:line="360" w:lineRule="exact"/>
        <w:ind w:left="240" w:hangingChars="100" w:hanging="240"/>
        <w:contextualSpacing/>
        <w:rPr>
          <w:rFonts w:ascii="メイリオ" w:eastAsia="メイリオ" w:hAnsi="メイリオ" w:cs="Times New Roman"/>
          <w:sz w:val="24"/>
          <w:szCs w:val="24"/>
        </w:rPr>
      </w:pPr>
      <w:r w:rsidRPr="006E724B">
        <w:rPr>
          <w:rFonts w:ascii="メイリオ" w:eastAsia="メイリオ" w:hAnsi="メイリオ" w:cs="ＭＳ 明朝" w:hint="eastAsia"/>
          <w:sz w:val="24"/>
          <w:szCs w:val="24"/>
        </w:rPr>
        <w:t>２　乙及び管理人は、この契約に定める事項について入居者等に周知徹底し、紛争が生じたときは、乙の責任においてこれを解決しなければならない。</w:t>
      </w:r>
    </w:p>
    <w:p w14:paraId="3272CED4"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p>
    <w:p w14:paraId="79756DCF" w14:textId="77777777" w:rsidR="002B6EBC" w:rsidRPr="006E724B" w:rsidRDefault="002B6EBC" w:rsidP="00600D01">
      <w:pPr>
        <w:snapToGrid w:val="0"/>
        <w:spacing w:line="360" w:lineRule="exact"/>
        <w:contextualSpacing/>
        <w:rPr>
          <w:rFonts w:ascii="メイリオ" w:eastAsia="メイリオ" w:hAnsi="メイリオ" w:cs="Times New Roman"/>
          <w:sz w:val="24"/>
          <w:szCs w:val="24"/>
        </w:rPr>
      </w:pPr>
      <w:r w:rsidRPr="006E724B">
        <w:rPr>
          <w:rFonts w:ascii="メイリオ" w:eastAsia="メイリオ" w:hAnsi="メイリオ" w:cs="ＭＳ 明朝" w:hint="eastAsia"/>
          <w:spacing w:val="13"/>
          <w:sz w:val="24"/>
          <w:szCs w:val="24"/>
        </w:rPr>
        <w:t xml:space="preserve">  </w:t>
      </w:r>
      <w:r w:rsidRPr="006E724B">
        <w:rPr>
          <w:rFonts w:ascii="メイリオ" w:eastAsia="メイリオ" w:hAnsi="メイリオ" w:cs="ＭＳ 明朝" w:hint="eastAsia"/>
          <w:sz w:val="24"/>
          <w:szCs w:val="24"/>
        </w:rPr>
        <w:t>この契約の締結を証するため、本証書２通を作成し、甲乙記名押印のうえ、各自その１通を保有する。</w:t>
      </w:r>
    </w:p>
    <w:p w14:paraId="31B470B1" w14:textId="77777777" w:rsidR="006E724B" w:rsidRDefault="006E724B" w:rsidP="006E724B">
      <w:pPr>
        <w:adjustRightInd w:val="0"/>
        <w:snapToGrid w:val="0"/>
        <w:spacing w:line="360" w:lineRule="exact"/>
        <w:contextualSpacing/>
        <w:rPr>
          <w:rFonts w:ascii="メイリオ" w:eastAsia="メイリオ" w:hAnsi="メイリオ" w:cs="Times New Roman"/>
          <w:sz w:val="24"/>
          <w:szCs w:val="24"/>
        </w:rPr>
      </w:pPr>
    </w:p>
    <w:p w14:paraId="50CB4AE3" w14:textId="77777777" w:rsidR="006E724B" w:rsidRPr="006E724B" w:rsidRDefault="006E724B" w:rsidP="006E724B">
      <w:pPr>
        <w:adjustRightInd w:val="0"/>
        <w:snapToGrid w:val="0"/>
        <w:spacing w:line="360" w:lineRule="exact"/>
        <w:contextualSpacing/>
        <w:rPr>
          <w:rFonts w:ascii="メイリオ" w:eastAsia="メイリオ" w:hAnsi="メイリオ" w:cs="Times New Roman"/>
          <w:sz w:val="24"/>
          <w:szCs w:val="24"/>
        </w:rPr>
      </w:pPr>
    </w:p>
    <w:p w14:paraId="62DD1A19" w14:textId="02212978" w:rsidR="002B6EBC" w:rsidRPr="006E724B" w:rsidRDefault="00D93069" w:rsidP="00FD250A">
      <w:pPr>
        <w:adjustRightInd w:val="0"/>
        <w:snapToGrid w:val="0"/>
        <w:spacing w:line="360" w:lineRule="exact"/>
        <w:ind w:firstLineChars="400" w:firstLine="960"/>
        <w:contextualSpacing/>
        <w:rPr>
          <w:rFonts w:ascii="メイリオ" w:eastAsia="メイリオ" w:hAnsi="メイリオ" w:cs="Times New Roman"/>
          <w:sz w:val="24"/>
          <w:szCs w:val="24"/>
          <w:lang w:eastAsia="zh-TW"/>
        </w:rPr>
      </w:pPr>
      <w:r>
        <w:rPr>
          <w:rFonts w:ascii="メイリオ" w:eastAsia="メイリオ" w:hAnsi="メイリオ" w:cs="ＭＳ 明朝" w:hint="eastAsia"/>
          <w:sz w:val="24"/>
          <w:szCs w:val="24"/>
        </w:rPr>
        <w:t xml:space="preserve">　　</w:t>
      </w:r>
      <w:r w:rsidR="002B6EBC" w:rsidRPr="006E724B">
        <w:rPr>
          <w:rFonts w:ascii="メイリオ" w:eastAsia="メイリオ" w:hAnsi="メイリオ" w:cs="ＭＳ 明朝" w:hint="eastAsia"/>
          <w:sz w:val="24"/>
          <w:szCs w:val="24"/>
          <w:lang w:eastAsia="zh-TW"/>
        </w:rPr>
        <w:t>年</w:t>
      </w:r>
      <w:r>
        <w:rPr>
          <w:rFonts w:ascii="メイリオ" w:eastAsia="メイリオ" w:hAnsi="メイリオ" w:cs="ＭＳ 明朝" w:hint="eastAsia"/>
          <w:sz w:val="24"/>
          <w:szCs w:val="24"/>
        </w:rPr>
        <w:t xml:space="preserve">　　</w:t>
      </w:r>
      <w:r w:rsidR="002B6EBC" w:rsidRPr="006E724B">
        <w:rPr>
          <w:rFonts w:ascii="メイリオ" w:eastAsia="メイリオ" w:hAnsi="メイリオ" w:cs="ＭＳ 明朝" w:hint="eastAsia"/>
          <w:sz w:val="24"/>
          <w:szCs w:val="24"/>
          <w:lang w:eastAsia="zh-TW"/>
        </w:rPr>
        <w:t>月</w:t>
      </w:r>
      <w:r>
        <w:rPr>
          <w:rFonts w:ascii="メイリオ" w:eastAsia="メイリオ" w:hAnsi="メイリオ" w:cs="ＭＳ 明朝" w:hint="eastAsia"/>
          <w:sz w:val="24"/>
          <w:szCs w:val="24"/>
        </w:rPr>
        <w:t xml:space="preserve">　　</w:t>
      </w:r>
      <w:r w:rsidR="002B6EBC" w:rsidRPr="006E724B">
        <w:rPr>
          <w:rFonts w:ascii="メイリオ" w:eastAsia="メイリオ" w:hAnsi="メイリオ" w:cs="ＭＳ 明朝" w:hint="eastAsia"/>
          <w:sz w:val="24"/>
          <w:szCs w:val="24"/>
          <w:lang w:eastAsia="zh-TW"/>
        </w:rPr>
        <w:t>日</w:t>
      </w:r>
    </w:p>
    <w:p w14:paraId="573F28D1" w14:textId="77777777" w:rsidR="002B6EBC" w:rsidRPr="006E724B" w:rsidRDefault="002B6EBC" w:rsidP="006E724B">
      <w:pPr>
        <w:adjustRightInd w:val="0"/>
        <w:snapToGrid w:val="0"/>
        <w:spacing w:line="360" w:lineRule="exact"/>
        <w:contextualSpacing/>
        <w:rPr>
          <w:rFonts w:ascii="メイリオ" w:eastAsia="メイリオ" w:hAnsi="メイリオ" w:cs="Times New Roman"/>
          <w:sz w:val="24"/>
          <w:szCs w:val="24"/>
          <w:lang w:eastAsia="zh-TW"/>
        </w:rPr>
      </w:pPr>
    </w:p>
    <w:p w14:paraId="2D0DBDCF" w14:textId="15DB7AD1" w:rsidR="002B6EBC" w:rsidRPr="006E724B" w:rsidRDefault="002B6EBC" w:rsidP="00FD250A">
      <w:pPr>
        <w:snapToGrid w:val="0"/>
        <w:spacing w:line="400" w:lineRule="exact"/>
        <w:ind w:firstLineChars="700" w:firstLine="1680"/>
        <w:contextualSpacing/>
        <w:rPr>
          <w:rFonts w:ascii="メイリオ" w:eastAsia="メイリオ" w:hAnsi="メイリオ" w:cs="Times New Roman"/>
          <w:sz w:val="24"/>
          <w:szCs w:val="24"/>
          <w:lang w:eastAsia="zh-TW"/>
        </w:rPr>
      </w:pPr>
      <w:r w:rsidRPr="006E724B">
        <w:rPr>
          <w:rFonts w:ascii="メイリオ" w:eastAsia="メイリオ" w:hAnsi="メイリオ" w:cs="ＭＳ 明朝" w:hint="eastAsia"/>
          <w:sz w:val="24"/>
          <w:szCs w:val="24"/>
          <w:lang w:eastAsia="zh-TW"/>
        </w:rPr>
        <w:t>（甲）</w:t>
      </w:r>
      <w:r w:rsidR="006E724B" w:rsidRPr="006E724B">
        <w:rPr>
          <w:rFonts w:ascii="メイリオ" w:eastAsia="メイリオ" w:hAnsi="メイリオ" w:cs="ＭＳ 明朝" w:hint="eastAsia"/>
          <w:sz w:val="24"/>
          <w:szCs w:val="24"/>
        </w:rPr>
        <w:t xml:space="preserve">　</w:t>
      </w:r>
      <w:r w:rsidRPr="006E724B">
        <w:rPr>
          <w:rFonts w:ascii="メイリオ" w:eastAsia="メイリオ" w:hAnsi="メイリオ" w:cs="ＭＳ 明朝" w:hint="eastAsia"/>
          <w:sz w:val="24"/>
          <w:szCs w:val="24"/>
          <w:lang w:eastAsia="zh-TW"/>
        </w:rPr>
        <w:t>豊田市西町３丁目６０番地</w:t>
      </w:r>
    </w:p>
    <w:p w14:paraId="7F65D31C" w14:textId="77777777" w:rsidR="002B6EBC" w:rsidRPr="006E724B" w:rsidRDefault="002B6EBC" w:rsidP="00FD250A">
      <w:pPr>
        <w:snapToGrid w:val="0"/>
        <w:spacing w:line="400" w:lineRule="exact"/>
        <w:ind w:firstLineChars="1200" w:firstLine="2880"/>
        <w:contextualSpacing/>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豊田市</w:t>
      </w:r>
    </w:p>
    <w:p w14:paraId="7D6FE420" w14:textId="15C22A77" w:rsidR="002B6EBC" w:rsidRPr="006E724B" w:rsidRDefault="006E724B" w:rsidP="006E724B">
      <w:pPr>
        <w:snapToGrid w:val="0"/>
        <w:spacing w:line="400" w:lineRule="exact"/>
        <w:contextualSpacing/>
        <w:rPr>
          <w:rFonts w:ascii="メイリオ" w:eastAsia="メイリオ" w:hAnsi="メイリオ" w:cs="Times New Roman"/>
          <w:sz w:val="24"/>
          <w:szCs w:val="24"/>
        </w:rPr>
      </w:pPr>
      <w:r w:rsidRPr="006E724B">
        <w:rPr>
          <w:rFonts w:ascii="メイリオ" w:eastAsia="メイリオ" w:hAnsi="メイリオ" w:cs="Times New Roman" w:hint="eastAsia"/>
          <w:sz w:val="24"/>
          <w:szCs w:val="24"/>
        </w:rPr>
        <w:t xml:space="preserve">　　　　　　　</w:t>
      </w:r>
      <w:r>
        <w:rPr>
          <w:rFonts w:ascii="メイリオ" w:eastAsia="メイリオ" w:hAnsi="メイリオ" w:cs="Times New Roman" w:hint="eastAsia"/>
          <w:sz w:val="24"/>
          <w:szCs w:val="24"/>
        </w:rPr>
        <w:t xml:space="preserve">　</w:t>
      </w:r>
      <w:r w:rsidRPr="006E724B">
        <w:rPr>
          <w:rFonts w:ascii="メイリオ" w:eastAsia="メイリオ" w:hAnsi="メイリオ" w:cs="Times New Roman" w:hint="eastAsia"/>
          <w:sz w:val="24"/>
          <w:szCs w:val="24"/>
        </w:rPr>
        <w:t xml:space="preserve">　　　　　代表者　豊田市事業管理者　</w:t>
      </w:r>
      <w:r w:rsidR="00FD250A">
        <w:rPr>
          <w:rFonts w:ascii="メイリオ" w:eastAsia="メイリオ" w:hAnsi="メイリオ" w:cs="Times New Roman" w:hint="eastAsia"/>
          <w:sz w:val="24"/>
          <w:szCs w:val="24"/>
        </w:rPr>
        <w:t xml:space="preserve">　　　　　</w:t>
      </w:r>
      <w:r w:rsidRPr="006E724B">
        <w:rPr>
          <w:rFonts w:ascii="メイリオ" w:eastAsia="メイリオ" w:hAnsi="メイリオ" w:cs="Times New Roman" w:hint="eastAsia"/>
          <w:sz w:val="24"/>
          <w:szCs w:val="24"/>
        </w:rPr>
        <w:t xml:space="preserve">　　印</w:t>
      </w:r>
    </w:p>
    <w:p w14:paraId="488F9317" w14:textId="77777777" w:rsidR="002B6EBC" w:rsidRPr="00FD250A" w:rsidRDefault="002B6EBC" w:rsidP="006E724B">
      <w:pPr>
        <w:snapToGrid w:val="0"/>
        <w:spacing w:line="400" w:lineRule="exact"/>
        <w:contextualSpacing/>
        <w:rPr>
          <w:rFonts w:ascii="メイリオ" w:eastAsia="メイリオ" w:hAnsi="メイリオ" w:cs="Times New Roman"/>
          <w:sz w:val="24"/>
          <w:szCs w:val="24"/>
        </w:rPr>
      </w:pPr>
    </w:p>
    <w:p w14:paraId="1D8F4F97" w14:textId="1A4D509D" w:rsidR="003B6995" w:rsidRDefault="002B6EBC" w:rsidP="00FD250A">
      <w:pPr>
        <w:snapToGrid w:val="0"/>
        <w:spacing w:line="400" w:lineRule="exact"/>
        <w:ind w:firstLineChars="700" w:firstLine="1680"/>
        <w:contextualSpacing/>
        <w:rPr>
          <w:rFonts w:ascii="メイリオ" w:eastAsia="メイリオ" w:hAnsi="メイリオ" w:cs="ＭＳ 明朝"/>
          <w:sz w:val="24"/>
          <w:szCs w:val="24"/>
        </w:rPr>
      </w:pPr>
      <w:r w:rsidRPr="006E724B">
        <w:rPr>
          <w:rFonts w:ascii="メイリオ" w:eastAsia="メイリオ" w:hAnsi="メイリオ" w:cs="ＭＳ 明朝" w:hint="eastAsia"/>
          <w:sz w:val="24"/>
          <w:szCs w:val="24"/>
        </w:rPr>
        <w:t>（乙）</w:t>
      </w:r>
      <w:r w:rsidR="00566DDA">
        <w:rPr>
          <w:rFonts w:ascii="メイリオ" w:eastAsia="メイリオ" w:hAnsi="メイリオ" w:cs="ＭＳ 明朝" w:hint="eastAsia"/>
          <w:sz w:val="24"/>
          <w:szCs w:val="24"/>
        </w:rPr>
        <w:t xml:space="preserve">　</w:t>
      </w:r>
    </w:p>
    <w:p w14:paraId="4563D5D6" w14:textId="64B02492" w:rsidR="00FD250A" w:rsidRDefault="00FD250A" w:rsidP="00FD250A">
      <w:pPr>
        <w:snapToGrid w:val="0"/>
        <w:spacing w:line="400" w:lineRule="exact"/>
        <w:ind w:firstLineChars="700" w:firstLine="1680"/>
        <w:contextualSpacing/>
        <w:rPr>
          <w:rFonts w:ascii="メイリオ" w:eastAsia="メイリオ" w:hAnsi="メイリオ" w:cs="ＭＳ 明朝" w:hint="eastAsia"/>
          <w:sz w:val="24"/>
          <w:szCs w:val="24"/>
        </w:rPr>
      </w:pPr>
      <w:r>
        <w:rPr>
          <w:rFonts w:ascii="メイリオ" w:eastAsia="メイリオ" w:hAnsi="メイリオ" w:cs="ＭＳ 明朝" w:hint="eastAsia"/>
          <w:sz w:val="24"/>
          <w:szCs w:val="24"/>
        </w:rPr>
        <w:t xml:space="preserve">　　　　　</w:t>
      </w:r>
    </w:p>
    <w:p w14:paraId="552EF830" w14:textId="07B6D37A" w:rsidR="009E67A4" w:rsidRDefault="009E67A4" w:rsidP="006E724B">
      <w:pPr>
        <w:snapToGrid w:val="0"/>
        <w:spacing w:line="400" w:lineRule="exact"/>
        <w:contextualSpacing/>
        <w:rPr>
          <w:rFonts w:ascii="メイリオ" w:eastAsia="メイリオ" w:hAnsi="メイリオ" w:cs="ＭＳ 明朝"/>
          <w:sz w:val="24"/>
          <w:szCs w:val="24"/>
        </w:rPr>
      </w:pPr>
      <w:r>
        <w:rPr>
          <w:rFonts w:ascii="メイリオ" w:eastAsia="メイリオ" w:hAnsi="メイリオ" w:cs="ＭＳ 明朝" w:hint="eastAsia"/>
          <w:sz w:val="24"/>
          <w:szCs w:val="24"/>
        </w:rPr>
        <w:t xml:space="preserve">　　　　　　　　　　　　　</w:t>
      </w:r>
    </w:p>
    <w:p w14:paraId="50BE390E" w14:textId="5477E6EE" w:rsidR="006E724B" w:rsidRPr="006E724B" w:rsidRDefault="009E67A4" w:rsidP="006E724B">
      <w:pPr>
        <w:snapToGrid w:val="0"/>
        <w:spacing w:line="400" w:lineRule="exact"/>
        <w:contextualSpacing/>
        <w:rPr>
          <w:rFonts w:ascii="メイリオ" w:eastAsia="メイリオ" w:hAnsi="メイリオ" w:cs="Times New Roman"/>
          <w:sz w:val="24"/>
          <w:szCs w:val="24"/>
        </w:rPr>
      </w:pPr>
      <w:r>
        <w:rPr>
          <w:rFonts w:ascii="メイリオ" w:eastAsia="メイリオ" w:hAnsi="メイリオ" w:cs="Times New Roman" w:hint="eastAsia"/>
          <w:sz w:val="24"/>
          <w:szCs w:val="24"/>
        </w:rPr>
        <w:t xml:space="preserve">　　　　　　　　　　　　　　　　　　　　　　　　　　　　　　　　　印</w:t>
      </w:r>
    </w:p>
    <w:sectPr w:rsidR="006E724B" w:rsidRPr="006E724B" w:rsidSect="00600D01">
      <w:pgSz w:w="11906" w:h="16838" w:code="9"/>
      <w:pgMar w:top="1247" w:right="1474" w:bottom="124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33F53" w14:textId="77777777" w:rsidR="00FE45F4" w:rsidRDefault="00FE45F4" w:rsidP="00566DDA">
      <w:r>
        <w:separator/>
      </w:r>
    </w:p>
  </w:endnote>
  <w:endnote w:type="continuationSeparator" w:id="0">
    <w:p w14:paraId="7BC6014E" w14:textId="77777777" w:rsidR="00FE45F4" w:rsidRDefault="00FE45F4" w:rsidP="0056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CD1AA" w14:textId="77777777" w:rsidR="00FE45F4" w:rsidRDefault="00FE45F4" w:rsidP="00566DDA">
      <w:r>
        <w:separator/>
      </w:r>
    </w:p>
  </w:footnote>
  <w:footnote w:type="continuationSeparator" w:id="0">
    <w:p w14:paraId="07DDAF7B" w14:textId="77777777" w:rsidR="00FE45F4" w:rsidRDefault="00FE45F4" w:rsidP="00566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45974"/>
    <w:multiLevelType w:val="hybridMultilevel"/>
    <w:tmpl w:val="2D242716"/>
    <w:lvl w:ilvl="0" w:tplc="778465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103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BC"/>
    <w:rsid w:val="00075B48"/>
    <w:rsid w:val="001306B9"/>
    <w:rsid w:val="00293CBD"/>
    <w:rsid w:val="002B6EBC"/>
    <w:rsid w:val="00310E69"/>
    <w:rsid w:val="003B6995"/>
    <w:rsid w:val="004929BC"/>
    <w:rsid w:val="00566DDA"/>
    <w:rsid w:val="00600D01"/>
    <w:rsid w:val="006E724B"/>
    <w:rsid w:val="007507D2"/>
    <w:rsid w:val="008D4A0F"/>
    <w:rsid w:val="00907901"/>
    <w:rsid w:val="009E67A4"/>
    <w:rsid w:val="009F0909"/>
    <w:rsid w:val="00A47256"/>
    <w:rsid w:val="00BC10B4"/>
    <w:rsid w:val="00BD60FC"/>
    <w:rsid w:val="00C93773"/>
    <w:rsid w:val="00D93069"/>
    <w:rsid w:val="00E05125"/>
    <w:rsid w:val="00EF79A7"/>
    <w:rsid w:val="00F008AA"/>
    <w:rsid w:val="00F7498A"/>
    <w:rsid w:val="00F95D13"/>
    <w:rsid w:val="00FC4F0F"/>
    <w:rsid w:val="00FD250A"/>
    <w:rsid w:val="00FE4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3D57F"/>
  <w15:chartTrackingRefBased/>
  <w15:docId w15:val="{DCA8E263-1117-4AED-A40A-9C8C4387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B6EBC"/>
    <w:rPr>
      <w:rFonts w:ascii="ＭＳ 明朝" w:eastAsia="ＭＳ 明朝" w:hAnsi="Century" w:cs="ＭＳ 明朝"/>
      <w:sz w:val="24"/>
      <w:szCs w:val="24"/>
    </w:rPr>
  </w:style>
  <w:style w:type="character" w:customStyle="1" w:styleId="a4">
    <w:name w:val="本文 (文字)"/>
    <w:basedOn w:val="a0"/>
    <w:link w:val="a3"/>
    <w:uiPriority w:val="99"/>
    <w:rsid w:val="002B6EBC"/>
    <w:rPr>
      <w:rFonts w:ascii="ＭＳ 明朝" w:eastAsia="ＭＳ 明朝" w:hAnsi="Century" w:cs="ＭＳ 明朝"/>
      <w:sz w:val="24"/>
      <w:szCs w:val="24"/>
    </w:rPr>
  </w:style>
  <w:style w:type="paragraph" w:styleId="a5">
    <w:name w:val="List Paragraph"/>
    <w:basedOn w:val="a"/>
    <w:uiPriority w:val="34"/>
    <w:qFormat/>
    <w:rsid w:val="002B6EBC"/>
    <w:pPr>
      <w:ind w:leftChars="400" w:left="840"/>
    </w:pPr>
  </w:style>
  <w:style w:type="paragraph" w:styleId="a6">
    <w:name w:val="header"/>
    <w:basedOn w:val="a"/>
    <w:link w:val="a7"/>
    <w:uiPriority w:val="99"/>
    <w:unhideWhenUsed/>
    <w:rsid w:val="00566DDA"/>
    <w:pPr>
      <w:tabs>
        <w:tab w:val="center" w:pos="4252"/>
        <w:tab w:val="right" w:pos="8504"/>
      </w:tabs>
      <w:snapToGrid w:val="0"/>
    </w:pPr>
  </w:style>
  <w:style w:type="character" w:customStyle="1" w:styleId="a7">
    <w:name w:val="ヘッダー (文字)"/>
    <w:basedOn w:val="a0"/>
    <w:link w:val="a6"/>
    <w:uiPriority w:val="99"/>
    <w:rsid w:val="00566DDA"/>
  </w:style>
  <w:style w:type="paragraph" w:styleId="a8">
    <w:name w:val="footer"/>
    <w:basedOn w:val="a"/>
    <w:link w:val="a9"/>
    <w:uiPriority w:val="99"/>
    <w:unhideWhenUsed/>
    <w:rsid w:val="00566DDA"/>
    <w:pPr>
      <w:tabs>
        <w:tab w:val="center" w:pos="4252"/>
        <w:tab w:val="right" w:pos="8504"/>
      </w:tabs>
      <w:snapToGrid w:val="0"/>
    </w:pPr>
  </w:style>
  <w:style w:type="character" w:customStyle="1" w:styleId="a9">
    <w:name w:val="フッター (文字)"/>
    <w:basedOn w:val="a0"/>
    <w:link w:val="a8"/>
    <w:uiPriority w:val="99"/>
    <w:rsid w:val="00566DDA"/>
  </w:style>
  <w:style w:type="table" w:styleId="aa">
    <w:name w:val="Table Grid"/>
    <w:basedOn w:val="a1"/>
    <w:uiPriority w:val="39"/>
    <w:rsid w:val="003B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BE3D-E208-4270-9DFE-D6377B52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亮太朗</dc:creator>
  <cp:keywords/>
  <dc:description/>
  <cp:lastModifiedBy>横井　雅子</cp:lastModifiedBy>
  <cp:revision>8</cp:revision>
  <cp:lastPrinted>2025-08-06T02:57:00Z</cp:lastPrinted>
  <dcterms:created xsi:type="dcterms:W3CDTF">2025-08-06T02:37:00Z</dcterms:created>
  <dcterms:modified xsi:type="dcterms:W3CDTF">2025-08-08T01:53:00Z</dcterms:modified>
</cp:coreProperties>
</file>